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277</w:t>
      </w:r>
    </w:p>
    <w:p>
      <w:r>
        <w:t>Bundesgericht (BGE), 2018-05-03, FR</w:t>
      </w:r>
    </w:p>
    <w:p>
      <w:r>
        <w:rPr>
          <w:b/>
        </w:rPr>
        <w:t xml:space="preserve">Quelle: </w:t>
      </w:r>
      <w:r>
        <w:t>https://mcp.opencaselaw.ch/entscheid/bge_144 III 277</w:t>
      </w:r>
    </w:p>
    <w:p>
      <w:r>
        <w:t>FR: ATF 144 III 277</w:t>
      </w:r>
    </w:p>
    <w:p>
      <w:r>
        <w:t>IT: DTF 144 III 277</w:t>
      </w:r>
    </w:p>
    <w:p>
      <w:pPr>
        <w:pStyle w:val="Heading2"/>
      </w:pPr>
      <w:r>
        <w:t>Regeste</w:t>
      </w:r>
    </w:p>
    <w:p>
      <w:r>
        <w:t>Regeste Art. 67 Ziff. 1 und 69 Abs. 2 Ziff. 1 SchKG, Art. 602 Abs. 1 ZGB, Art. 128 Ziff. 1 und 130 Abs. 1 OR; Gültigkeit der Betreibung; Vertretung der Erbengemeinschaft in dringlichen Fällen. In dringlichen Fällen ist jeder Erbe kraft der ihm verliehenen gesetzlichen Befugnisse dazu berechtigt, alleine als Vertreter der Erbengemeinschaft zu handeln (E. 3.3). Diese Befugnisse erlöschen, sobald die Dringlichkeit wegfällt (E. 3.3.1). Vorliegend Dringlichkeit bejaht für die Stellung eines Betreibungsbegehrens zwecks Unterbrechung der Verjährung von Mietforderungen, die in den Nachlass fallen sollen (E. 3.3.3). Die gestützt auf die gesetzlichen Befugnisse in dringlichen Fällen vorgenommenen Handlungen bedürfen nicht der Genehmigung durch die Miterben. Vorbehalten bleibt die Haftbarkeit des Erben, der als Vertreter für die Erbengemeinschaft handelt (E. 3.3.5).</w:t>
      </w:r>
    </w:p>
    <w:p>
      <w:pPr>
        <w:pStyle w:val="Heading2"/>
      </w:pPr>
      <w:r>
        <w:t>Erwägungen</w:t>
      </w:r>
    </w:p>
    <w:p>
      <w:r>
        <w:rPr>
          <w:b/>
        </w:rPr>
        <w:t>E. 3</w:t>
      </w:r>
    </w:p>
    <w:p>
      <w:r>
        <w:t>La recourante se plaint d'une violation de l' art. 602 CC , en lien avec la question de la validité de la réquisition de poursuite ( art. 67 ss LP ). Elle fait valoir qu'elle avait le pouvoir de requérir la poursuite en tant que représentante de l'hoirie, puisqu'il s'agissait d'interrompre la prescription quinquennale relative à une créance de loyers, partant, qu'il y avait urgence.</w:t>
      </w:r>
    </w:p>
    <w:p>
      <w:r>
        <w:rPr>
          <w:b/>
        </w:rPr>
        <w:t>E. 3.1.1</w:t>
      </w:r>
    </w:p>
    <w:p>
      <w:r>
        <w:t>Aux termes de l' art. 67 ch. 1 LP , la réquisition de poursuite doit énoncer notamment le nom et le domicile du créancier et, s'il y a lieu, de son mandataire. L' art. 69 al. 2 ch. 1 LP prescrit que ces indications doivent être reproduites dans le commandement de payer. Le préposé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 ATF 130 III 231 consid. 2.1; ATF 84 III 72 consid. 1 et les références). La poursuite exercée par une communauté héréditaire doit, sous peine de nullité, être intentée au nom de tous les membres de celle-ci désignés individuellement ( ATF 51 III 57 , 98).</w:t>
      </w:r>
    </w:p>
    <w:p>
      <w:r>
        <w:rPr>
          <w:b/>
        </w:rPr>
        <w:t>E. 3.1.2</w:t>
      </w:r>
    </w:p>
    <w:p>
      <w:r>
        <w:t>Il est constant qu'en l'espèce, la réquisition de poursuite a été signée par M e F., qui n'était pas mandaté par l'ensemble des membres BGE 144 III 277 S. 280 de la communauté héréditaire, mais par A. uniquement. Interpellé par l'Office, M e F. a clairement indiqué que sa cliente agissait en tant que représentante de l'hoirie, se prévalant d'une situation qu'elle qualifiait d'urgente. En particulier, A. - par l'intermédiaire de son conseil - avait requis seule la poursuite en déclarant agir en qualité de représentante de l'hoirie et en énonçant les noms de chacun des membres de la communauté, ce afin d'interrompre le délai de prescription quinquennal - reposant sur l' art. 128 ch. 1 CO - relatif à une créance de loyer dont serait titulaire la succession à l'encontre de B. Il sied ainsi d'examiner si A. était habilitée à adresser seule, en tant que représentante de l'hoirie, la réquisition de poursuite en cause.</w:t>
      </w:r>
    </w:p>
    <w:p>
      <w:r>
        <w:rPr>
          <w:b/>
        </w:rPr>
        <w:t>E. 3.2</w:t>
      </w:r>
    </w:p>
    <w:p>
      <w:r>
        <w:t>Au décès du de cujus, ses droits et obligations passent à ses héritiers, qui forment une communauté prenant fin par le partage ( art. 602 al. 1 CC ). En principe, les membres de la communauté doivent agir tous ensemble, ou par l'intermédiaire d'un représentant ( art. 602 al. 3 CC ), d'un exécuteur testamentaire ( art. 518 CC ) ou d'un administrateur officiel ( art. 554 CC ).</w:t>
      </w:r>
    </w:p>
    <w:p>
      <w:r>
        <w:rPr>
          <w:b/>
        </w:rPr>
        <w:t>E. 3.2.1</w:t>
      </w:r>
    </w:p>
    <w:p>
      <w:r>
        <w:t>La jurisprudence a assoupli le principe de l'unanimité lorsqu'il y a lieu de sauvegarder des intérêts juridiquement protégés non pas contre un tiers, mais contre l'un des héritiers (cf. notamment ATF 125 III 219 consid. 1b; 54 II 243 ); dans ce cas, tous les héritiers doivent néanmoins être parties au procès, soit comme demandeurs, soit comme défendeurs ( ATF 141 IV 380 consid. 2.3.2; ATF 125 III 219 consid. 1b; ATF 109 II 400 consid. 2). Il en va notamment ainsi de l'action en annulation d'un contrat conclu entre cohéritiers ( ATF 109 II 400 consid. 2). En revanche, une dérogation au principe de l'unanimité ne se justifie pas lorsqu'il s'agit d'actes juridiques conclus entre la communauté héréditaire et l'un des héritiers. Ainsi, lorsqu'un héritier prend en location ou achète pour lui-même un objet appartenant à la communauté, il participe au contrat d'une part comme membre de la communauté, d'autre part à titre individuel ( ATF 101 II 36 ). Il en va de même lorsqu'un héritier avait conclu un contrat de bail à ferme avec le défunt ( ATF 125 III 219 consid. 1d). En conséquence, si un héritier refuse de consentir à un acte juridique portant sur un bien successoral, il faut désigner un représentant de l'hoirie en application de l' art. 602 al. 3 CC , à qui il appartiendra de prendre une décision adéquate ( ATF 125 III 219 consid. 1c in fine). BGE 144 III 277 S. 281</w:t>
      </w:r>
    </w:p>
    <w:p>
      <w:r>
        <w:rPr>
          <w:b/>
        </w:rPr>
        <w:t>E. 3.2.2</w:t>
      </w:r>
    </w:p>
    <w:p>
      <w:r>
        <w:t>Selon les faits de la cause - qui lient le Tribunal fédéral (cf. consid. 2.2 non publié) - les poursuites portent sur le manque à gagner qui résulterait de deux contrats de bail à loyer conclus en 2010 entre C. (bailleur) et sa fille, B., ainsi que le mari de celle-ci, E. (locataires). Il s'agit donc d'exercer les droits de la communauté héréditaire issus de contrats de bail à loyer conclus entre le défunt, d'une part, et l'un des héritiers et le conjoint de celui-ci (à savoir un tiers non membre de la communauté), d'autre part. Dans une telle situation, il ne se justifie nullement de déroger au principe de l'unanimité (cf. supra consid. 3.2.1; voir aussi NICOLAS ROUILLER, in Commentaire du droit des successions, Eigenmann/Rouiller [éd.], 2012, n° 37 ad art. 602 CC ), ce d'autant que l'un des deux locataires n'est pas membre de la communauté héréditaire. En conséquence, la poursuite contre B. devait en principe être exercée conjointement par les trois héritiers. Au surplus, il n'apparaît pas qu'un représentant de la communauté héréditaire, qu'un exécuteur testamentaire ou qu'un administrateur officiel avait été désigné.</w:t>
      </w:r>
    </w:p>
    <w:p>
      <w:r>
        <w:rPr>
          <w:b/>
        </w:rPr>
        <w:t>E. 3.3</w:t>
      </w:r>
    </w:p>
    <w:p>
      <w:r>
        <w:t>Selon la jurisprudence, il y a toutefois exception au principe de l'indivision dans les cas urgents, où l'intérêt d'une communauté héréditaire exige une action rapide. Chaque héritier est alors habilité à agir comme représentant de cette communauté, en vertu de pouvoirs légaux qui lui sont alors conférés ( ATF 125 III 219 consid. 1a et les références; 58 II 195 consid. 2; dans le même sens, parmi plusieurs: CHRISTINA GAIST, La communauté héréditaire: sa composition, ses biens et ses dettes en droit suisse, 2015, p. 224; SCHAUFELBERGER/KELLER LÜSCHER, in Basler Kommentar, Zivilgesetzbuch, vol. II, 5 e éd. 2015, n° 18 ad art. 602 CC ; STEPHAN WOLF, in Berner Kommentar, Zivilgesetzbuch, Art. 602-619 CC , 2014, n os 92 s. ad art. 602 CC ; critiques: ANDRÉ BAUMGARTNER, La communauté héréditaire dans le procès civil, 1933, p. 133 ss; MARIE-FRANÇOISE SCHAAD, La consorité en procédure civile, 1993, p. 345, qui nie l'existence d'un véritable pouvoir de représentation; prône, même en cas d'urgence, l'application des dispositions régissant la gestion d'affaires sans mandat: PAUL PIOTET, Le principe de l'action commune des membres d'une hoirie [...], in Festschrift für Otto Riese aus Anlass seines siebzigsten Geburtstages, 1964, p. 391-395; sur les différentes controverses relatives au fondement juridique de ce pouvoir de représentation, voir notamment SANDRA LAYDU MOLINARI, La poursuite pour les dettes successorales, 1999, p. 36 s.). BGE 144 III 277 S. 282</w:t>
      </w:r>
    </w:p>
    <w:p>
      <w:r>
        <w:rPr>
          <w:b/>
        </w:rPr>
        <w:t>E. 3.3.1</w:t>
      </w:r>
    </w:p>
    <w:p>
      <w:r>
        <w:t>L'urgence doit être admise lorsque le consentement de l'ensemble des héritiers ne peut pas être recueilli en temps utile ou lorsque la nomination d'un représentant de la communauté héréditaire ne paraît pas pouvoir être obtenue à temps ( ATF 58 II 195 consid. 2). Tel est notamment le cas lorsqu'un délai de péremption ou de prescription est sur le point d'échoir ( ATF 58 II 195 consid. 2, qui admet l'urgence s'agissant du délai de péremption de 10 jours pour ouvrir action en revendication selon l' art. 107 al. 2 LP ; voir notamment ROUILLER, op. cit., n° 55 ad art. 602 CC ). Les pouvoirs de l'héritier de représenter la communauté subsistent tant qu'il y a urgence ( ATF 58 II 195 consid. 2). Les actes qu'il exécute dans une situation d'urgence engagent pleinement la communauté; ces actes étant accomplis en vertu de pouvoirs légaux de représentation, ils ne sont pas soumis à la ratification de ses cohéritiers (apparemment dans le même sens: GAIST, op. cit., p. 224; contra: ROUILLER, op. cit., n° 55 ad art. 602 CC , qui estime que si l'acte accompli dans l'urgence n'est pas ratifié par une décision unanime des membres de l'hoirie ou d'un représentant autorisé, l'action qu'il a engagée est caduque; SCHAAD, op. cit., p. 345). S'il est possible, entre temps, de provoquer une décision des cohéritiers ou de faire nommer un représentant par l'autorité compétente, l'héritier ne peut pas continuer à agir seul au nom de l'hoirie. Ses pouvoirs s'éteignent au moment où l'urgence cesse ( ATF 74 II 215 consid. 2; 58 II 195 consid. 2); il appartiendra alors d'agir soit à tous les héritiers en commun, soit à un représentant désigné par l'autorité ou par la communauté ( ATF 58 II 195 consid. 2).</w:t>
      </w:r>
    </w:p>
    <w:p>
      <w:r>
        <w:rPr>
          <w:b/>
        </w:rPr>
        <w:t>E. 3.3.2</w:t>
      </w:r>
    </w:p>
    <w:p>
      <w:r>
        <w:t>Dans le cas d'espèce, la cour cantonale a nié l'urgence, pour le motif que les réquisitions de poursuite n'ont été déposées que le 22 novembre 2016, alors que le 8 septembre 2016 déjà, le conseil de A. avait demandé à B. et à son époux de signer une déclaration de renonciation à la prescription. La Cour des poursuites et faillites a considéré que dans l'intervalle, A., respectivement son conseil, avaient eu amplement le temps de demander à D. qu'il se joigne à la procédure. Partant, selon la juridiction précédente, si A. avait agi seule, ce n'était pas en raison d'une quelconque urgence, mais parce qu'elle n'avait pas requis ou pas obtenu le concours de son frère.</w:t>
      </w:r>
    </w:p>
    <w:p>
      <w:r>
        <w:rPr>
          <w:b/>
        </w:rPr>
        <w:t>E. 3.3.3</w:t>
      </w:r>
    </w:p>
    <w:p>
      <w:r>
        <w:t>Ce raisonnement ne peut être suivi. Il apparaît que les loyers et autres prestations périodiques se prescrivent par cinq ans, chaque BGE 144 III 277 S. 283 prestation se prescrivant individuellement à partir de son exigibilité ( art. 128 ch. 1 et 130 al. 1 CO ). Le délai de prescription est interrompu par la réquisition de poursuite ( art. 135 ch. 2 CO ), à concurrence de la somme qui y est indiquée ( ATF 133 III 675 consid. 2.3.2; ATF 119 II 339 consid. 1c). Dès lors que la recourante a fait valoir que des créances de loyer de la succession seraient bientôt prescrites, et que la poursuivie - qui est aussi membre de l'hoirie - a refusé de signer une déclaration de renonciation à la prescription, il apparaît qu'il y avait urgence à déposer une réquisition de poursuite. D'une part, il est évident que B., qui n'est autre que la poursuivie, n'allait pas consentir à la réquisition de poursuite. D'autre part, il faut admettre qu'en règle générale, la désignation par l'autorité d'un représentant de la communauté héréditaire - seule solution envisageable en l'espèce vu l'application du principe de l'indivision -, qui aurait ensuite dû être mis au courant de la situation avant de prendre une décision quant à l'envoi d'une réquisition de poursuite, est un processus qui aurait très vraisemblablement duré à lui seul plus d'un mois (dans le même sens ROUILLER, op. cit., n os 69-70 ad art. 602 CC , selon lequel cette durée peut en principe être estimée entre un et trois mois, et qui ajoute que la période totale pendant laquelle un héritier peut ainsi agir comme représentant peut parfois être de l'ordre de cinq à six mois), mettant ainsi en péril l'observation du délai de prescription de certaines des créances invoquées, dont les échéances successives sont mensuelles. On relèvera encore que selon la jurisprudence, il n'y a pas lieu de se demander s'il eut été possible pour tous les héritiers d'agir en commun; chaque héritier est en principe autorisé à agir sans le concours de ses cohéritiers lorsque l'intérêt de la communauté exige une intervention rapide ( ATF 58 II 195 consid. 3; dans le même sens BAUMGARTNER, op. cit., p. 120).</w:t>
      </w:r>
    </w:p>
    <w:p>
      <w:r>
        <w:rPr>
          <w:b/>
        </w:rPr>
        <w:t>E. 3.3.4</w:t>
      </w:r>
    </w:p>
    <w:p>
      <w:r>
        <w:t>L'intimée expose que dans la mesure où, en l'espèce, l'urgence se rapporte à la cause de l'obligation invoquée par la recourante, ce critère ne pouvait pas être examiné par les autorités de poursuite. Elle en déduit que l'Office aurait dû d'emblée refuser de donner suite à la réquisition de poursuite, celle-ci émanant d'un héritier non habilité à représenter l'hoirie. Sa critique trahit une mauvaise compréhension de la jurisprudence. En effet, s'il est constant que l'Office des poursuites n'a pas à vérifier l'existence et l'exigibilité au jour du dépôt de la réquisition de poursuite de la créance alléguée par le poursuivant ( ATF 102 III 1 BGE 144 III 277 S. 284 consid. 1b), il n'en demeure pas moins qu'il ne doit pas donner suite à une réquisition de poursuite s'il est manifeste que le poursuivant désigné dans la réquisition de poursuite n'a pas la capacité d'être le sujet actif de la poursuite (dans ce sens ATF 140 III 175 consid. 4.1; ATF 104 III 4 consid. 2). Pour cela, dans le cas où un héritier agit seul au nom de l'hoirie, les autorités de poursuite ne sauraient se dispenser de vérifier si le critère de l'urgence allégué par l'héritier qui introduit la réquisition de poursuite paraît réalisé, ceci indépendamment des questions de l'existence et de l'exigibilité de la créance mise en poursuite. En tant que l'intimée affirme que la cause de l'obligation mentionnée dans la réquisition de poursuite est abusive, ajoutant que la poursuivante ne pourra pas obtenir gain de cause dans une procédure de mainlevée de l'opposition, elle omet que comme elle l'a elle-même indiqué, il n'y a toutefois pas lieu, à ce stade de la procédure, d'examiner le bien-fondé de la poursuite.</w:t>
      </w:r>
    </w:p>
    <w:p>
      <w:r>
        <w:rPr>
          <w:b/>
        </w:rPr>
        <w:t>E. 3.3.5</w:t>
      </w:r>
    </w:p>
    <w:p>
      <w:r>
        <w:t>La cour cantonale a retenu que, quand bien même un héritier peut agir seul en cas d'urgence, ses cohéritiers doivent ratifier son acte ou se joindre à la procédure intentée dans un délai raisonnable. En conséquence, dans la mesure où en l'espèce, D. n'avait jamais approuvé la poursuite intentée, la plainte devait de toute manière être admise. Ces considérations ne résistent pas à l'examen. Le critère de l'urgence était réalisé au moment où la réquisition de poursuite a été introduite, de sorte que comme l'expose à juste titre la recourante, en effectuant seule cet acte, elle a agi alors qu'elle était en droit de représenter la communauté, sa responsabilité à l'égard de celle-ci étant évidemment réservée ( ATF 58 II 195 consid. 2). Il ne saurait être question de soumettre à ratification un tel acte - au demeurant limité dans le temps, de sorte que l'on ne saurait considérer que l'urgence avait cessé - accompli en vertu de pouvoirs conférés par la loi (cf. supra consid. 3.3, 3.3.1 et 3.3.3). Il en résulte que la décision entreprise doit être annulée et réformée en ce sens que la plainte est rejetée. Autre est la question de savoir si A. pourrait requérir seule la mainlevée de l'opposition et, le cas échéant, mener seule la suite de la procédure de poursuite en qualité de représentante de l'hoirie. Le critère de l'urgence devra être réexaminé à chaque étape de la procédure. On relèvera à cet égard qu'il ressort de l' ATF 58 II 195 que, quand bien même un héritier serait habilité à ouvrir action seul pour BGE 144 III 277 S. 285 préserver les intérêts de la communauté, ses pouvoirs s'éteignent dès que l'urgence cesse soit, par hypothèse et selon les circonstances, au cours du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